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w:t>
            </w:r>
          </w:p>
          <w:p w:rsidR="00000000" w:rsidDel="00000000" w:rsidP="00000000" w:rsidRDefault="00000000" w:rsidRPr="00000000" w14:paraId="00000005">
            <w:pPr>
              <w:rPr/>
            </w:pPr>
            <w:r w:rsidDel="00000000" w:rsidR="00000000" w:rsidRPr="00000000">
              <w:rPr>
                <w:rtl w:val="0"/>
              </w:rPr>
              <w:t xml:space="preserve">Marta Alberdi</w:t>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w:t>
            </w:r>
          </w:p>
          <w:p w:rsidR="00000000" w:rsidDel="00000000" w:rsidP="00000000" w:rsidRDefault="00000000" w:rsidRPr="00000000" w14:paraId="00000008">
            <w:pPr>
              <w:rPr/>
            </w:pPr>
            <w:r w:rsidDel="00000000" w:rsidR="00000000" w:rsidRPr="00000000">
              <w:rPr>
                <w:rtl w:val="0"/>
              </w:rPr>
              <w:t xml:space="preserve">MIGRATION</w:t>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Quattrocento Sans" w:cs="Quattrocento Sans" w:eastAsia="Quattrocento Sans" w:hAnsi="Quattrocento Sans"/>
                <w:color w:val="374151"/>
                <w:rtl w:val="0"/>
              </w:rPr>
              <w:t xml:space="preserve"> Working on the topic of migration at the secondary school level is to provide students with a comprehensive understanding of the complexities surrounding human migration, promoting critical thinking, cultural awareness, and a sense of global citizenship.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Time (Lesson duration):</w:t>
            </w:r>
          </w:p>
          <w:p w:rsidR="00000000" w:rsidDel="00000000" w:rsidP="00000000" w:rsidRDefault="00000000" w:rsidRPr="00000000" w14:paraId="00000011">
            <w:pPr>
              <w:rPr/>
            </w:pPr>
            <w:r w:rsidDel="00000000" w:rsidR="00000000" w:rsidRPr="00000000">
              <w:rPr>
                <w:rtl w:val="0"/>
              </w:rPr>
              <w:t xml:space="preserve">4 hours</w:t>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3">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Individual and group work.</w:t>
            </w:r>
          </w:p>
        </w:tc>
      </w:tr>
    </w:tbl>
    <w:p w:rsidR="00000000" w:rsidDel="00000000" w:rsidP="00000000" w:rsidRDefault="00000000" w:rsidRPr="00000000" w14:paraId="00000016">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t xml:space="preserve">Videos and printed material.</w:t>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C">
            <w:pPr>
              <w:rPr/>
            </w:pPr>
            <w:r w:rsidDel="00000000" w:rsidR="00000000" w:rsidRPr="00000000">
              <w:rPr>
                <w:rtl w:val="0"/>
              </w:rPr>
              <w:t xml:space="preserve">Students’ age: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17 and more</w:t>
            </w:r>
          </w:p>
        </w:tc>
      </w:tr>
    </w:tbl>
    <w:p w:rsidR="00000000" w:rsidDel="00000000" w:rsidP="00000000" w:rsidRDefault="00000000" w:rsidRPr="00000000" w14:paraId="0000001F">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0">
            <w:pPr>
              <w:rPr/>
            </w:pPr>
            <w:r w:rsidDel="00000000" w:rsidR="00000000" w:rsidRPr="00000000">
              <w:rPr>
                <w:rtl w:val="0"/>
              </w:rPr>
              <w:t xml:space="preserve">Aims/Goals or SWBATs (Students will be able to.</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Develop </w:t>
            </w:r>
            <w:r w:rsidDel="00000000" w:rsidR="00000000" w:rsidRPr="00000000">
              <w:rPr>
                <w:b w:val="1"/>
                <w:rtl w:val="0"/>
              </w:rPr>
              <w:t xml:space="preserve">Cultural Awareness:</w:t>
            </w:r>
            <w:r w:rsidDel="00000000" w:rsidR="00000000" w:rsidRPr="00000000">
              <w:rPr>
                <w:rtl w:val="0"/>
              </w:rPr>
              <w:t xml:space="preserve"> Migration often involves the movement of people with diverse cultural backgrounds. Studying migration at the school level aims to promote cultural awareness and tolerance by exploring the experiences, traditions, and contributions of different migrant communities.</w:t>
            </w:r>
          </w:p>
          <w:p w:rsidR="00000000" w:rsidDel="00000000" w:rsidP="00000000" w:rsidRDefault="00000000" w:rsidRPr="00000000" w14:paraId="00000023">
            <w:pPr>
              <w:numPr>
                <w:ilvl w:val="0"/>
                <w:numId w:val="1"/>
              </w:numPr>
              <w:ind w:left="720" w:hanging="360"/>
              <w:rPr/>
            </w:pPr>
            <w:r w:rsidDel="00000000" w:rsidR="00000000" w:rsidRPr="00000000">
              <w:rPr>
                <w:b w:val="1"/>
                <w:rtl w:val="0"/>
              </w:rPr>
              <w:t xml:space="preserve">Historical Context:</w:t>
            </w:r>
            <w:r w:rsidDel="00000000" w:rsidR="00000000" w:rsidRPr="00000000">
              <w:rPr>
                <w:rtl w:val="0"/>
              </w:rPr>
              <w:t xml:space="preserve">  Learning about it provides students with insights into historical events.</w:t>
            </w:r>
          </w:p>
          <w:p w:rsidR="00000000" w:rsidDel="00000000" w:rsidP="00000000" w:rsidRDefault="00000000" w:rsidRPr="00000000" w14:paraId="00000024">
            <w:pPr>
              <w:numPr>
                <w:ilvl w:val="0"/>
                <w:numId w:val="1"/>
              </w:numPr>
              <w:ind w:left="720" w:hanging="360"/>
              <w:rPr/>
            </w:pPr>
            <w:r w:rsidDel="00000000" w:rsidR="00000000" w:rsidRPr="00000000">
              <w:rPr>
                <w:b w:val="1"/>
                <w:rtl w:val="0"/>
              </w:rPr>
              <w:t xml:space="preserve">Human Rights and Ethics:</w:t>
            </w:r>
            <w:r w:rsidDel="00000000" w:rsidR="00000000" w:rsidRPr="00000000">
              <w:rPr>
                <w:rtl w:val="0"/>
              </w:rPr>
              <w:t xml:space="preserve"> The study of migration often involves discussions about human rights, immigration policies, and ethical considerations. Students may explore the challenges faced by migrants, including issues related to asylum, refugees, and the protection of human rights.</w:t>
            </w:r>
          </w:p>
          <w:p w:rsidR="00000000" w:rsidDel="00000000" w:rsidP="00000000" w:rsidRDefault="00000000" w:rsidRPr="00000000" w14:paraId="00000025">
            <w:pPr>
              <w:ind w:left="360" w:firstLine="0"/>
              <w:rPr/>
            </w:pPr>
            <w:r w:rsidDel="00000000" w:rsidR="00000000" w:rsidRPr="00000000">
              <w:rPr>
                <w:rtl w:val="0"/>
              </w:rPr>
            </w:r>
          </w:p>
          <w:p w:rsidR="00000000" w:rsidDel="00000000" w:rsidP="00000000" w:rsidRDefault="00000000" w:rsidRPr="00000000" w14:paraId="00000026">
            <w:pPr>
              <w:numPr>
                <w:ilvl w:val="0"/>
                <w:numId w:val="1"/>
              </w:numPr>
              <w:ind w:left="720" w:hanging="360"/>
              <w:rPr/>
            </w:pPr>
            <w:r w:rsidDel="00000000" w:rsidR="00000000" w:rsidRPr="00000000">
              <w:rPr>
                <w:b w:val="1"/>
                <w:rtl w:val="0"/>
              </w:rPr>
              <w:t xml:space="preserve">Improve and expand Vocabulary related to this topic and refresh useful phrases to discuss and expose arguments.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A">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_15_____</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Questions to promote curiosity and motivation about the topic.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Where did you originally come from? Have you got a migrant background? Have you ever asked your parents where your family name comes from? What were their reasons for moving to Catalonia?</w:t>
            </w:r>
          </w:p>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1">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_10____</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To explain the meaning of Migration</w:t>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5">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Asking Questions to wake curiosity and motivation</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They share personal information about their migrant background in group</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Video: Where and why did Germans used to migrate?</w:t>
            </w:r>
          </w:p>
          <w:p w:rsidR="00000000" w:rsidDel="00000000" w:rsidP="00000000" w:rsidRDefault="00000000" w:rsidRPr="00000000" w14:paraId="00000039">
            <w:pPr>
              <w:rPr/>
            </w:pPr>
            <w:hyperlink r:id="rId7">
              <w:r w:rsidDel="00000000" w:rsidR="00000000" w:rsidRPr="00000000">
                <w:rPr>
                  <w:color w:val="0000ff"/>
                  <w:u w:val="single"/>
                  <w:rtl w:val="0"/>
                </w:rPr>
                <w:t xml:space="preserve">https://www.youtube.com/watch?v=mo1xkFZxfn8</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4- In groups of 3 they focus on a different destination. Keep researching about reasons and expectations . Each group makes a brief presentation in front of their classmates.</w:t>
            </w:r>
          </w:p>
          <w:p w:rsidR="00000000" w:rsidDel="00000000" w:rsidP="00000000" w:rsidRDefault="00000000" w:rsidRPr="00000000" w14:paraId="0000003B">
            <w:pPr>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Teacher writes vocabulary on the blackboard that came up during the presentations.</w:t>
            </w:r>
          </w:p>
          <w:p w:rsidR="00000000" w:rsidDel="00000000" w:rsidP="00000000" w:rsidRDefault="00000000" w:rsidRPr="00000000" w14:paraId="0000003C">
            <w:pPr>
              <w:rPr/>
            </w:pPr>
            <w:r w:rsidDel="00000000" w:rsidR="00000000" w:rsidRPr="00000000">
              <w:rPr>
                <w:rtl w:val="0"/>
              </w:rPr>
              <w:t xml:space="preserve">      5- How is it nowadays? Germany is a country where millions of migrants live. Where do most migrants come from? Research in groups. Presentations.</w:t>
            </w:r>
          </w:p>
          <w:p w:rsidR="00000000" w:rsidDel="00000000" w:rsidP="00000000" w:rsidRDefault="00000000" w:rsidRPr="00000000" w14:paraId="0000003D">
            <w:pPr>
              <w:rPr/>
            </w:pPr>
            <w:r w:rsidDel="00000000" w:rsidR="00000000" w:rsidRPr="00000000">
              <w:rPr>
                <w:rtl w:val="0"/>
              </w:rPr>
              <w:t xml:space="preserve">     6- Provided Written material about legislation, students can work in small groups using the </w:t>
            </w:r>
            <w:hyperlink r:id="rId8">
              <w:r w:rsidDel="00000000" w:rsidR="00000000" w:rsidRPr="00000000">
                <w:rPr>
                  <w:color w:val="1155cc"/>
                  <w:u w:val="single"/>
                  <w:rtl w:val="0"/>
                </w:rPr>
                <w:t xml:space="preserve">cyber sandwich</w:t>
              </w:r>
            </w:hyperlink>
            <w:r w:rsidDel="00000000" w:rsidR="00000000" w:rsidRPr="00000000">
              <w:rPr>
                <w:rtl w:val="0"/>
              </w:rPr>
              <w:t xml:space="preserve"> technique. Students will be motivated because it's a hot topic and people are worried and interested about that.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It's a good way to improve vocabulary and practice speaking skills which is obviously a challenge for them.</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It might be a controversial topic nowadays. So, the teacher might need to be able to manage discussion in case it leads to a confrontation. </w:t>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0">
            <w:pPr>
              <w:rPr/>
            </w:pPr>
            <w:r w:rsidDel="00000000" w:rsidR="00000000" w:rsidRPr="00000000">
              <w:rPr>
                <w:i w:val="1"/>
                <w:rtl w:val="0"/>
              </w:rPr>
              <w:t xml:space="preserve">What are other follow up (or homework) activities that can be included?</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Research about legislation </w:t>
            </w:r>
          </w:p>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5">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6">
            <w:pPr>
              <w:rPr/>
            </w:pPr>
            <w:r w:rsidDel="00000000" w:rsidR="00000000" w:rsidRPr="00000000">
              <w:rPr>
                <w:rtl w:val="0"/>
              </w:rPr>
              <w:t xml:space="preserve">Oral presentation. Peer assessment with a rubric.</w:t>
            </w:r>
          </w:p>
          <w:p w:rsidR="00000000" w:rsidDel="00000000" w:rsidP="00000000" w:rsidRDefault="00000000" w:rsidRPr="00000000" w14:paraId="00000047">
            <w:pPr>
              <w:rPr/>
            </w:pPr>
            <w:r w:rsidDel="00000000" w:rsidR="00000000" w:rsidRPr="00000000">
              <w:rPr>
                <w:rtl w:val="0"/>
              </w:rPr>
              <w:t xml:space="preserve">Formative Assessment: Teacher’s Feedback</w:t>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ind w:right="1275"/>
        <w:rPr/>
      </w:pPr>
      <w:r w:rsidDel="00000000" w:rsidR="00000000" w:rsidRPr="00000000">
        <w:rPr>
          <w:rtl w:val="0"/>
        </w:rPr>
      </w:r>
    </w:p>
    <w:sectPr>
      <w:footerReference r:id="rId9"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FF75D1"/>
    <w:pPr>
      <w:ind w:left="720"/>
      <w:contextualSpacing w:val="1"/>
    </w:pPr>
  </w:style>
  <w:style w:type="character" w:styleId="Hipervnculo">
    <w:name w:val="Hyperlink"/>
    <w:basedOn w:val="Fuentedeprrafopredeter"/>
    <w:uiPriority w:val="99"/>
    <w:unhideWhenUsed w:val="1"/>
    <w:rsid w:val="00344C48"/>
    <w:rPr>
      <w:color w:val="0000ff" w:themeColor="hyperlink"/>
      <w:u w:val="single"/>
    </w:rPr>
  </w:style>
  <w:style w:type="character" w:styleId="Mencinsinresolver">
    <w:name w:val="Unresolved Mention"/>
    <w:basedOn w:val="Fuentedeprrafopredeter"/>
    <w:uiPriority w:val="99"/>
    <w:semiHidden w:val="1"/>
    <w:unhideWhenUsed w:val="1"/>
    <w:rsid w:val="00344C48"/>
    <w:rPr>
      <w:color w:val="605e5c"/>
      <w:shd w:color="auto" w:fill="e1dfdd" w:val="clear"/>
    </w:rPr>
  </w:style>
  <w:style w:type="paragraph" w:styleId="NormalWeb">
    <w:name w:val="Normal (Web)"/>
    <w:basedOn w:val="Normal"/>
    <w:uiPriority w:val="99"/>
    <w:semiHidden w:val="1"/>
    <w:unhideWhenUsed w:val="1"/>
    <w:rsid w:val="00EB5B81"/>
    <w:rPr>
      <w:rFonts w:ascii="Times New Roman" w:cs="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mo1xkFZxfn8" TargetMode="External"/><Relationship Id="rId8" Type="http://schemas.openxmlformats.org/officeDocument/2006/relationships/hyperlink" Target="https://www.youtube.com/watch?v=K70iQOeeT8s&amp;t=147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GE9aOeOBKU6LrEb4Q/DMtbIyQ==">CgMxLjA4AHIhMXoyNEdFYjNlTk90QkNtdW1Hc2RVbFVibEo3b2VRTlg0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2024-02-02T11:28:00Z</dcterms:created>
  <dc:creator>Alberdi Sole, Marta</dc:creator>
</cp:coreProperties>
</file>