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CLIL: Your lesson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Topic/Lesson Title: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The Bizarre Story of Vasa:  The Complex Polish-Swedish Relations in the 17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Century.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Justyna Podemska, Szkoła Marzeń, Piaseczno, Poland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familiarized with the story of one of the most famous European maritime archeological </w:t>
            </w:r>
            <w:r w:rsidDel="00000000" w:rsidR="00000000" w:rsidRPr="00000000">
              <w:rPr>
                <w:rtl w:val="0"/>
              </w:rPr>
              <w:t xml:space="preserve">excavations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practice their listening, speaking, reading and writing skills in English.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learn\revise about the reasons </w:t>
            </w:r>
            <w:r w:rsidDel="00000000" w:rsidR="00000000" w:rsidRPr="00000000">
              <w:rPr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Polish-Swedish wars in the 17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century.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Age group: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13 – 15 years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Level: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A2-B1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45 min.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Polish-Swedish wars’ map: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http://www.conflicts.rem33.com/images/Poland/svenspolkriege%204.htm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color w:val="0f0f0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f0f0f"/>
                <w:sz w:val="24"/>
                <w:szCs w:val="24"/>
                <w:rtl w:val="0"/>
              </w:rPr>
              <w:t xml:space="preserve">The Incredible Story of Sweden's Vasa Warship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https://www.youtube.com/watch?v=UUT_qfjIoR8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1"/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color w:val="0f0f0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f0f0f"/>
                <w:sz w:val="24"/>
                <w:szCs w:val="24"/>
                <w:rtl w:val="0"/>
              </w:rPr>
              <w:t xml:space="preserve">The Vasa: Saving a 17th Century Shipwreck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https://www.youtube.com/watch?v=4QwQ2rMuJPY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homework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Time: 2 mins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We are going to learn about one of the most famous European maritime catastrophes. It happened in the 17th century and it was related to the Polish-Swedish wars. We are going to see a really spectacular shipwreck and find out more about its history.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can students predict or do to get started with the lesson? </w:t>
            </w:r>
            <w:r w:rsidDel="00000000" w:rsidR="00000000" w:rsidRPr="00000000">
              <w:rPr>
                <w:rtl w:val="0"/>
              </w:rPr>
              <w:t xml:space="preserve">Time 8 mins</w:t>
            </w:r>
          </w:p>
          <w:p w:rsidR="00000000" w:rsidDel="00000000" w:rsidP="00000000" w:rsidRDefault="00000000" w:rsidRPr="00000000" w14:paraId="0000003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Students working in pairs try to answer the question about the reasons for the conflict between Poles and Swedes in the 17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century.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The students’ ideas are put on the whiteboard by the teacher and discussed. The teacher presents a map of the conflict.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vocabulary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 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Students should be able to situate Poland, Sweden and the Baltic Sea on the map.</w:t>
            </w:r>
          </w:p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texts can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</w:t>
            </w:r>
            <w:r w:rsidDel="00000000" w:rsidR="00000000" w:rsidRPr="00000000">
              <w:rPr>
                <w:i w:val="1"/>
                <w:rtl w:val="0"/>
              </w:rPr>
              <w:t xml:space="preserve"> to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</w:t>
            </w:r>
            <w:r w:rsidDel="00000000" w:rsidR="00000000" w:rsidRPr="00000000">
              <w:rPr>
                <w:i w:val="1"/>
                <w:rtl w:val="0"/>
              </w:rPr>
              <w:t xml:space="preserve"> to deepen their knowledge?</w:t>
            </w:r>
            <w:r w:rsidDel="00000000" w:rsidR="00000000" w:rsidRPr="00000000">
              <w:rPr>
                <w:rtl w:val="0"/>
              </w:rPr>
              <w:t xml:space="preserve"> Time ______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See the homework below.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questions can students answer from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listening</w:t>
            </w:r>
            <w:r w:rsidDel="00000000" w:rsidR="00000000" w:rsidRPr="00000000">
              <w:rPr>
                <w:i w:val="1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reading</w:t>
            </w:r>
            <w:r w:rsidDel="00000000" w:rsidR="00000000" w:rsidRPr="00000000">
              <w:rPr>
                <w:i w:val="1"/>
                <w:rtl w:val="0"/>
              </w:rPr>
              <w:t xml:space="preserve">? How many should they answer?  What should they notice or analyze? </w:t>
            </w:r>
            <w:r w:rsidDel="00000000" w:rsidR="00000000" w:rsidRPr="00000000">
              <w:rPr>
                <w:rtl w:val="0"/>
              </w:rPr>
              <w:t xml:space="preserve">Time 10 mins</w:t>
            </w:r>
          </w:p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Listening activities: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teacher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shows students the first part of the youtube video material (up to 2min 30 s.) and </w:t>
            </w:r>
            <w:r w:rsidDel="00000000" w:rsidR="00000000" w:rsidRPr="00000000">
              <w:rPr>
                <w:rtl w:val="0"/>
              </w:rPr>
              <w:t xml:space="preserve">asks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them to get the answers to the following questions:</w:t>
            </w:r>
          </w:p>
          <w:p w:rsidR="00000000" w:rsidDel="00000000" w:rsidP="00000000" w:rsidRDefault="00000000" w:rsidRPr="00000000" w14:paraId="0000004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did the king of Sweden Gustavus Adolpfus decide to </w:t>
            </w:r>
            <w:r w:rsidDel="00000000" w:rsidR="00000000" w:rsidRPr="00000000">
              <w:rPr>
                <w:rtl w:val="0"/>
              </w:rPr>
              <w:t xml:space="preserve">build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Vasa ship?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was the ship called: the floating piece of propaganda?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were Polish nobles depicted on Vasa Ship and why?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in pairs students compare their notes and answers supervised by the teacher.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speak</w:t>
            </w:r>
            <w:r w:rsidDel="00000000" w:rsidR="00000000" w:rsidRPr="00000000">
              <w:rPr>
                <w:i w:val="1"/>
                <w:rtl w:val="0"/>
              </w:rPr>
              <w:t xml:space="preserve"> about in pairs or in small groups? </w:t>
            </w:r>
            <w:r w:rsidDel="00000000" w:rsidR="00000000" w:rsidRPr="00000000">
              <w:rPr>
                <w:rtl w:val="0"/>
              </w:rPr>
              <w:t xml:space="preserve">Time 5-7 min.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teacher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asks students working this time in groups of 4 to make </w:t>
            </w:r>
            <w:r w:rsidDel="00000000" w:rsidR="00000000" w:rsidRPr="00000000">
              <w:rPr>
                <w:rtl w:val="0"/>
              </w:rPr>
              <w:t xml:space="preserve">predictions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about the possible reasons </w:t>
            </w:r>
            <w:r w:rsidDel="00000000" w:rsidR="00000000" w:rsidRPr="00000000">
              <w:rPr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ship’s sinking (brainstorming).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share their ideas with the rest of the class.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Finally teacher shows students the second part of the youtube video material with the true reasons </w:t>
            </w:r>
            <w:r w:rsidDel="00000000" w:rsidR="00000000" w:rsidRPr="00000000">
              <w:rPr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the catastrophe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write</w:t>
            </w:r>
            <w:r w:rsidDel="00000000" w:rsidR="00000000" w:rsidRPr="00000000">
              <w:rPr>
                <w:i w:val="1"/>
                <w:rtl w:val="0"/>
              </w:rPr>
              <w:t xml:space="preserve"> about during class time or for homework?</w:t>
            </w:r>
            <w:r w:rsidDel="00000000" w:rsidR="00000000" w:rsidRPr="00000000">
              <w:rPr>
                <w:rtl w:val="0"/>
              </w:rPr>
              <w:t xml:space="preserve"> Time 10-20 min.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Students write the answers to the questions posed by the teacher and their predictions.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their homework students are asked to see a short film about the excavation and conservation of </w:t>
            </w: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Vasa ship and answer the question: Why is the Vasa Museum in Stockholm worth visiting?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are asked to write a short note: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 How did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Swedes feel when they found out about the ship’s sinking?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 How did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Poles feel when they found out about the ship’s sinking?</w:t>
            </w:r>
          </w:p>
          <w:p w:rsidR="00000000" w:rsidDel="00000000" w:rsidP="00000000" w:rsidRDefault="00000000" w:rsidRPr="00000000" w14:paraId="0000006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Polish-Swedish wars in the 17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century should be done before this lesson, so students have already the basic knowledge about the conflict.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right="1275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2036066803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EE707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44B8"/>
  </w:style>
  <w:style w:type="paragraph" w:styleId="Footer">
    <w:name w:val="footer"/>
    <w:basedOn w:val="Normal"/>
    <w:link w:val="Footer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44B8"/>
  </w:style>
  <w:style w:type="paragraph" w:styleId="NormalWeb">
    <w:name w:val="Normal (Web)"/>
    <w:basedOn w:val="Normal"/>
    <w:uiPriority w:val="99"/>
    <w:semiHidden w:val="1"/>
    <w:unhideWhenUsed w:val="1"/>
    <w:rsid w:val="00FA1AF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 w:val="it-IT"/>
    </w:rPr>
  </w:style>
  <w:style w:type="table" w:styleId="TableGrid">
    <w:name w:val="Table Grid"/>
    <w:basedOn w:val="TableNormal"/>
    <w:uiPriority w:val="39"/>
    <w:rsid w:val="005F0C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C652E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4QwQ2rMuJPY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nflicts.rem33.com/images/Poland/svenspolkriege%204.htm" TargetMode="External"/><Relationship Id="rId8" Type="http://schemas.openxmlformats.org/officeDocument/2006/relationships/hyperlink" Target="https://www.youtube.com/watch?v=UUT_qfjIoR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QQmBZHDskg+knTacyL3jYe1pA==">CgMxLjA4AHIhMTJLeklKUGowNXJQcUJqLVNvOThhUDBrZW5tSDI1Wl8w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2023-12-22T20:05:00Z</dcterms:created>
  <dc:creator>Sheila Corwin</dc:creator>
</cp:coreProperties>
</file>