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Sofie Wouters</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Are all our students the same?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sz w:val="22"/>
                <w:szCs w:val="22"/>
                <w:rtl w:val="0"/>
              </w:rPr>
              <w:t xml:space="preserve">BASIC ATTITUDE OF TEACHERS IN PROVIDING EQUAL EDUCATIONAL OPPORTUNITIES – What does it take</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120’</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storytelling </w:t>
            </w:r>
          </w:p>
          <w:p w:rsidR="00000000" w:rsidDel="00000000" w:rsidP="00000000" w:rsidRDefault="00000000" w:rsidRPr="00000000" w14:paraId="00000015">
            <w:pPr>
              <w:rPr/>
            </w:pPr>
            <w:r w:rsidDel="00000000" w:rsidR="00000000" w:rsidRPr="00000000">
              <w:rPr>
                <w:rtl w:val="0"/>
              </w:rPr>
              <w:t xml:space="preserve">Individual work and reflection in group</w:t>
            </w:r>
          </w:p>
        </w:tc>
      </w:tr>
    </w:tbl>
    <w:p w:rsidR="00000000" w:rsidDel="00000000" w:rsidP="00000000" w:rsidRDefault="00000000" w:rsidRPr="00000000" w14:paraId="00000016">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Laptop, digibord, puzzle,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D">
            <w:pPr>
              <w:rPr/>
            </w:pPr>
            <w:r w:rsidDel="00000000" w:rsidR="00000000" w:rsidRPr="00000000">
              <w:rPr>
                <w:rtl w:val="0"/>
              </w:rPr>
              <w:t xml:space="preserve">Students’ age: 18-19 years old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(Students will be able 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Students will be able to understand the terms: equality and equity, solidarity, empathy and inclusion.</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Students will be able to reflect on their own behaviour in the classroom when it comes up to  inclusion and empathy.</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Students will be able to make a lesson for their students to reflect equality - equity.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__10’</w:t>
            </w:r>
          </w:p>
          <w:p w:rsidR="00000000" w:rsidDel="00000000" w:rsidP="00000000" w:rsidRDefault="00000000" w:rsidRPr="00000000" w14:paraId="0000002C">
            <w:pPr>
              <w:rPr>
                <w:i w:val="1"/>
              </w:rPr>
            </w:pPr>
            <w:r w:rsidDel="00000000" w:rsidR="00000000" w:rsidRPr="00000000">
              <w:rPr/>
              <w:drawing>
                <wp:inline distB="0" distT="0" distL="0" distR="0">
                  <wp:extent cx="4572000" cy="4191000"/>
                  <wp:effectExtent b="0" l="0" r="0" t="0"/>
                  <wp:docPr descr="Eduardo Kobra - Peace | Artribune" id="263083003" name="image2.jpg"/>
                  <a:graphic>
                    <a:graphicData uri="http://schemas.openxmlformats.org/drawingml/2006/picture">
                      <pic:pic>
                        <pic:nvPicPr>
                          <pic:cNvPr descr="Eduardo Kobra - Peace | Artribune" id="0" name="image2.jpg"/>
                          <pic:cNvPicPr preferRelativeResize="0"/>
                        </pic:nvPicPr>
                        <pic:blipFill>
                          <a:blip r:embed="rId7"/>
                          <a:srcRect b="0" l="0" r="0" t="0"/>
                          <a:stretch>
                            <a:fillRect/>
                          </a:stretch>
                        </pic:blipFill>
                        <pic:spPr>
                          <a:xfrm>
                            <a:off x="0" y="0"/>
                            <a:ext cx="45720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Instruction: </w:t>
            </w:r>
          </w:p>
          <w:p w:rsidR="00000000" w:rsidDel="00000000" w:rsidP="00000000" w:rsidRDefault="00000000" w:rsidRPr="00000000" w14:paraId="0000002F">
            <w:pPr>
              <w:rPr/>
            </w:pPr>
            <w:r w:rsidDel="00000000" w:rsidR="00000000" w:rsidRPr="00000000">
              <w:rPr>
                <w:rtl w:val="0"/>
              </w:rPr>
              <w:t xml:space="preserve">What do you see? 3’</w:t>
            </w:r>
          </w:p>
          <w:p w:rsidR="00000000" w:rsidDel="00000000" w:rsidP="00000000" w:rsidRDefault="00000000" w:rsidRPr="00000000" w14:paraId="00000030">
            <w:pPr>
              <w:rPr/>
            </w:pPr>
            <w:r w:rsidDel="00000000" w:rsidR="00000000" w:rsidRPr="00000000">
              <w:rPr>
                <w:rtl w:val="0"/>
              </w:rPr>
              <w:t xml:space="preserve">What do you think? 3’</w:t>
            </w:r>
          </w:p>
          <w:p w:rsidR="00000000" w:rsidDel="00000000" w:rsidP="00000000" w:rsidRDefault="00000000" w:rsidRPr="00000000" w14:paraId="00000031">
            <w:pPr>
              <w:rPr/>
            </w:pPr>
            <w:r w:rsidDel="00000000" w:rsidR="00000000" w:rsidRPr="00000000">
              <w:rPr>
                <w:rtl w:val="0"/>
              </w:rPr>
              <w:t xml:space="preserve">What do you wonder? 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6">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___110’__</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Terms: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empathy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 equity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Inclusion as a Human right.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 Convention on the Rights of Persons with Disabilities (New York, 2006; ratified by Belgium on 2 July 2009) has made this declaration not only stronger, but also binding. Article 24 of this convention deals with the right to education and stipulates that an inclusive education system at all levels and lifelong learning facilities must be guaranteed / Ensure inclusive and equitable quality education and promote lifelong learning opportunities for all (SDG4)</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Pygmalion-effect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41">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Empathy:  listening game (the name game) 10’  + movie </w:t>
            </w:r>
            <w:hyperlink r:id="rId8">
              <w:r w:rsidDel="00000000" w:rsidR="00000000" w:rsidRPr="00000000">
                <w:rPr>
                  <w:color w:val="1155cc"/>
                  <w:u w:val="single"/>
                  <w:rtl w:val="0"/>
                </w:rPr>
                <w:t xml:space="preserve">https://youtu.be/KZBTYViDPlQ</w:t>
              </w:r>
            </w:hyperlink>
            <w:r w:rsidDel="00000000" w:rsidR="00000000" w:rsidRPr="00000000">
              <w:rPr>
                <w:rtl w:val="0"/>
              </w:rPr>
              <w:t xml:space="preserve">  2’ + human library 5’</w:t>
            </w:r>
            <w:hyperlink r:id="rId9">
              <w:r w:rsidDel="00000000" w:rsidR="00000000" w:rsidRPr="00000000">
                <w:rPr>
                  <w:color w:val="0000ff"/>
                  <w:u w:val="single"/>
                  <w:rtl w:val="0"/>
                </w:rPr>
                <w:t xml:space="preserve">https://youtu.be/IbROUfO0LO4</w:t>
              </w:r>
            </w:hyperlink>
            <w:r w:rsidDel="00000000" w:rsidR="00000000" w:rsidRPr="00000000">
              <w:rPr>
                <w:rtl w:val="0"/>
              </w:rPr>
              <w:t xml:space="preserve"> + discussion 5’ = </w:t>
            </w:r>
            <w:r w:rsidDel="00000000" w:rsidR="00000000" w:rsidRPr="00000000">
              <w:rPr>
                <w:b w:val="1"/>
                <w:rtl w:val="0"/>
              </w:rPr>
              <w:t xml:space="preserve">22’</w:t>
            </w:r>
            <w:r w:rsidDel="00000000" w:rsidR="00000000" w:rsidRPr="00000000">
              <w:rPr>
                <w:rtl w:val="0"/>
              </w:rPr>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Equality – equity : activity with different roles in society and classroom 20’ discussion  ‘8 = </w:t>
            </w:r>
            <w:r w:rsidDel="00000000" w:rsidR="00000000" w:rsidRPr="00000000">
              <w:rPr>
                <w:b w:val="1"/>
                <w:rtl w:val="0"/>
              </w:rPr>
              <w:t xml:space="preserve">28’</w:t>
            </w:r>
            <w:r w:rsidDel="00000000" w:rsidR="00000000" w:rsidRPr="00000000">
              <w:rPr>
                <w:rtl w:val="0"/>
              </w:rPr>
            </w:r>
          </w:p>
          <w:p w:rsidR="00000000" w:rsidDel="00000000" w:rsidP="00000000" w:rsidRDefault="00000000" w:rsidRPr="00000000" w14:paraId="00000045">
            <w:pPr>
              <w:numPr>
                <w:ilvl w:val="0"/>
                <w:numId w:val="2"/>
              </w:numPr>
              <w:ind w:left="720" w:hanging="360"/>
              <w:rPr>
                <w:b w:val="1"/>
              </w:rPr>
            </w:pPr>
            <w:r w:rsidDel="00000000" w:rsidR="00000000" w:rsidRPr="00000000">
              <w:rPr>
                <w:rtl w:val="0"/>
              </w:rPr>
              <w:t xml:space="preserve">Inclusion puzzle + source discussion = </w:t>
            </w:r>
            <w:r w:rsidDel="00000000" w:rsidR="00000000" w:rsidRPr="00000000">
              <w:rPr>
                <w:b w:val="1"/>
                <w:rtl w:val="0"/>
              </w:rPr>
              <w:t xml:space="preserve">10’</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Pygmalion-effect </w:t>
            </w:r>
            <w:hyperlink r:id="rId10">
              <w:r w:rsidDel="00000000" w:rsidR="00000000" w:rsidRPr="00000000">
                <w:rPr>
                  <w:color w:val="0000ff"/>
                  <w:u w:val="single"/>
                  <w:rtl w:val="0"/>
                </w:rPr>
                <w:t xml:space="preserve">https://www.youtube.com/watch?v=4aN5TbGW5JA</w:t>
              </w:r>
            </w:hyperlink>
            <w:r w:rsidDel="00000000" w:rsidR="00000000" w:rsidRPr="00000000">
              <w:rPr>
                <w:rtl w:val="0"/>
              </w:rPr>
              <w:t xml:space="preserve"> 5’ + discussion 10= </w:t>
            </w: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Brainstorm in small groups: What can you do as a teacher to include all of your students? </w:t>
            </w: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048">
            <w:pPr>
              <w:numPr>
                <w:ilvl w:val="0"/>
                <w:numId w:val="2"/>
              </w:numPr>
              <w:ind w:left="720" w:hanging="360"/>
              <w:rPr>
                <w:b w:val="1"/>
              </w:rPr>
            </w:pPr>
            <w:r w:rsidDel="00000000" w:rsidR="00000000" w:rsidRPr="00000000">
              <w:rPr>
                <w:rtl w:val="0"/>
              </w:rPr>
              <w:t xml:space="preserve">Individual: Think of one student in your class and what can you do to give him/her the same chances as other students? </w:t>
            </w:r>
            <w:r w:rsidDel="00000000" w:rsidR="00000000" w:rsidRPr="00000000">
              <w:rPr>
                <w:b w:val="1"/>
                <w:rtl w:val="0"/>
              </w:rPr>
              <w:t xml:space="preserve">10’</w:t>
            </w:r>
          </w:p>
          <w:p w:rsidR="00000000" w:rsidDel="00000000" w:rsidP="00000000" w:rsidRDefault="00000000" w:rsidRPr="00000000" w14:paraId="00000049">
            <w:pPr>
              <w:numPr>
                <w:ilvl w:val="0"/>
                <w:numId w:val="2"/>
              </w:numPr>
              <w:ind w:left="720" w:hanging="360"/>
              <w:rPr>
                <w:b w:val="1"/>
              </w:rPr>
            </w:pPr>
            <w:r w:rsidDel="00000000" w:rsidR="00000000" w:rsidRPr="00000000">
              <w:rPr>
                <w:rtl w:val="0"/>
              </w:rPr>
              <w:t xml:space="preserve">Exit ticket: Everybody can say something: How do you feel and what is the most important insight that you have after today? </w:t>
            </w:r>
            <w:r w:rsidDel="00000000" w:rsidR="00000000" w:rsidRPr="00000000">
              <w:rPr>
                <w:b w:val="1"/>
                <w:rtl w:val="0"/>
              </w:rPr>
              <w:t xml:space="preserve">10’</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Individual: prepare an activity for you students to motivate them to reflect on the  subject of equality – equity.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7">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Exit ticket</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an adjustment made by members of the group in their BBZ (= a document at our school about actions teachers take in the way of teaching that are good for every student)?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Talk about it in a performance review</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ind w:right="1275"/>
        <w:rPr/>
      </w:pPr>
      <w:r w:rsidDel="00000000" w:rsidR="00000000" w:rsidRPr="00000000">
        <w:rPr>
          <w:rtl w:val="0"/>
        </w:rPr>
      </w:r>
    </w:p>
    <w:sectPr>
      <w:footerReference r:id="rId11"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26308300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26308300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63083002"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Lijstalinea">
    <w:name w:val="List Paragraph"/>
    <w:basedOn w:val="Standaard"/>
    <w:uiPriority w:val="34"/>
    <w:qFormat w:val="1"/>
    <w:rsid w:val="00311C4A"/>
    <w:pPr>
      <w:ind w:left="720"/>
      <w:contextualSpacing w:val="1"/>
    </w:pPr>
  </w:style>
  <w:style w:type="character" w:styleId="Hyperlink">
    <w:name w:val="Hyperlink"/>
    <w:basedOn w:val="Standaardalinea-lettertype"/>
    <w:uiPriority w:val="99"/>
    <w:unhideWhenUsed w:val="1"/>
    <w:rsid w:val="00C572EE"/>
    <w:rPr>
      <w:color w:val="0000ff" w:themeColor="hyperlink"/>
      <w:u w:val="single"/>
    </w:rPr>
  </w:style>
  <w:style w:type="character" w:styleId="Onopgelostemelding">
    <w:name w:val="Unresolved Mention"/>
    <w:basedOn w:val="Standaardalinea-lettertype"/>
    <w:uiPriority w:val="99"/>
    <w:semiHidden w:val="1"/>
    <w:unhideWhenUsed w:val="1"/>
    <w:rsid w:val="00C572E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watch?v=4aN5TbGW5JA" TargetMode="External"/><Relationship Id="rId9" Type="http://schemas.openxmlformats.org/officeDocument/2006/relationships/hyperlink" Target="https://youtu.be/IbROUfO0LO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youtu.be/KZBTYViDPl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a2P++OB/bF541QykZKWTdbrmA==">CgMxLjA4AHIhMXJWM0dXQVRTR2JaSFdJMVRESGdVemRxb29iZF9zZjlT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2024-12-06T11:35:00Z</dcterms:created>
</cp:coreProperties>
</file>