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w:t>
            </w:r>
          </w:p>
          <w:p w:rsidR="00000000" w:rsidDel="00000000" w:rsidP="00000000" w:rsidRDefault="00000000" w:rsidRPr="00000000" w14:paraId="00000005">
            <w:pPr>
              <w:rPr/>
            </w:pPr>
            <w:r w:rsidDel="00000000" w:rsidR="00000000" w:rsidRPr="00000000">
              <w:rPr>
                <w:rtl w:val="0"/>
              </w:rPr>
              <w:t xml:space="preserve">Veronika Lipohar, Croatia</w:t>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w:t>
            </w:r>
          </w:p>
          <w:p w:rsidR="00000000" w:rsidDel="00000000" w:rsidP="00000000" w:rsidRDefault="00000000" w:rsidRPr="00000000" w14:paraId="00000008">
            <w:pPr>
              <w:rPr/>
            </w:pPr>
            <w:r w:rsidDel="00000000" w:rsidR="00000000" w:rsidRPr="00000000">
              <w:rPr>
                <w:rtl w:val="0"/>
              </w:rPr>
              <w:t xml:space="preserve">EU flags and languages diversity</w:t>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Introducing the diversity of European languages and flags to primary school students</w:t>
            </w:r>
          </w:p>
        </w:tc>
      </w:tr>
    </w:tbl>
    <w:p w:rsidR="00000000" w:rsidDel="00000000" w:rsidP="00000000" w:rsidRDefault="00000000" w:rsidRPr="00000000" w14:paraId="0000000E">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F">
            <w:pPr>
              <w:rPr/>
            </w:pPr>
            <w:r w:rsidDel="00000000" w:rsidR="00000000" w:rsidRPr="00000000">
              <w:rPr>
                <w:rtl w:val="0"/>
              </w:rPr>
              <w:t xml:space="preserve">Time (Lesson duration):</w:t>
            </w:r>
          </w:p>
          <w:p w:rsidR="00000000" w:rsidDel="00000000" w:rsidP="00000000" w:rsidRDefault="00000000" w:rsidRPr="00000000" w14:paraId="00000010">
            <w:pPr>
              <w:rPr/>
            </w:pPr>
            <w:r w:rsidDel="00000000" w:rsidR="00000000" w:rsidRPr="00000000">
              <w:rPr>
                <w:rtl w:val="0"/>
              </w:rPr>
              <w:t xml:space="preserve">90 mins</w:t>
            </w:r>
          </w:p>
        </w:tc>
      </w:tr>
    </w:tbl>
    <w:p w:rsidR="00000000" w:rsidDel="00000000" w:rsidP="00000000" w:rsidRDefault="00000000" w:rsidRPr="00000000" w14:paraId="00000011">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2">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3">
            <w:pPr>
              <w:rPr/>
            </w:pPr>
            <w:r w:rsidDel="00000000" w:rsidR="00000000" w:rsidRPr="00000000">
              <w:rPr>
                <w:rtl w:val="0"/>
              </w:rPr>
              <w:t xml:space="preserve">Group, individual, peer assessment, working in pairs, plenum</w:t>
            </w:r>
          </w:p>
        </w:tc>
      </w:tr>
    </w:tbl>
    <w:p w:rsidR="00000000" w:rsidDel="00000000" w:rsidP="00000000" w:rsidRDefault="00000000" w:rsidRPr="00000000" w14:paraId="00000014">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t xml:space="preserve">Lego for serious play in colours of the EU- flags.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t xml:space="preserve">Worksheet about a certain European country.</w:t>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t xml:space="preserve">Printed flag templates for each pair.</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t xml:space="preserve">Simple presentation about the EU and European values.</w:t>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E">
            <w:pPr>
              <w:rPr/>
            </w:pPr>
            <w:r w:rsidDel="00000000" w:rsidR="00000000" w:rsidRPr="00000000">
              <w:rPr>
                <w:rtl w:val="0"/>
              </w:rPr>
              <w:t xml:space="preserve">Students’ age: 9-11 year old</w:t>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1">
            <w:pPr>
              <w:rPr/>
            </w:pPr>
            <w:r w:rsidDel="00000000" w:rsidR="00000000" w:rsidRPr="00000000">
              <w:rPr>
                <w:rtl w:val="0"/>
              </w:rPr>
              <w:t xml:space="preserve">Aims/Goals or SWBATs (Students will be able to......)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Inform about EU core values – unity in diversity</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 Name flags of some European countries</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 List some of the languages spoken in European countires</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 Recognise and respect cultural differences</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 Promoting inclusion, equality and respect </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 Working together as peers on TBL</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 Giving feedback to a peer</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 Summarising important content</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 Nurturing creativity and hand – eye coordination of young students</w:t>
            </w:r>
          </w:p>
          <w:p w:rsidR="00000000" w:rsidDel="00000000" w:rsidP="00000000" w:rsidRDefault="00000000" w:rsidRPr="00000000" w14:paraId="0000002C">
            <w:pPr>
              <w:ind w:left="720" w:firstLine="0"/>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E">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15”</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Students work in pairs. Each pair gets a European flag template with all the European flags and a Lego building set. Their task is to build as many European flags from a set as possible in the time of 10 minutes.</w:t>
              <w:br w:type="textWrapping"/>
              <w:t xml:space="preserve">5 minutes are for assessment and reflection in the class. What flags did they assemble and why? Was this task fun for them? </w:t>
            </w:r>
          </w:p>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2">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___15”__</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European union, language differences, equality, unity in diversity, each language is beautiful </w:t>
            </w:r>
          </w:p>
          <w:p w:rsidR="00000000" w:rsidDel="00000000" w:rsidP="00000000" w:rsidRDefault="00000000" w:rsidRPr="00000000" w14:paraId="00000035">
            <w:pPr>
              <w:rPr/>
            </w:pPr>
            <w:r w:rsidDel="00000000" w:rsidR="00000000" w:rsidRPr="00000000">
              <w:rPr>
                <w:rtl w:val="0"/>
              </w:rPr>
              <w:t xml:space="preserve">The teacher presents basic values of the EU and European countries with a simple presentation where the students are encouraged to ask questions.</w:t>
            </w:r>
          </w:p>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8">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 Presentation of the EU values and countries – 15”</w:t>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 Lego serious play – assembling different EU flags – 15”</w:t>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 Cyber sandwich – students learn fun facts and words about a certain European country and language individually, and then they compare their notes and things they liked most on the countries they learned about. They then individually summerise what they learned from each other. After 15 minutes they change partners and countries, so they learn from different students and about different countries. 45”</w:t>
            </w:r>
          </w:p>
          <w:p w:rsidR="00000000" w:rsidDel="00000000" w:rsidP="00000000" w:rsidRDefault="00000000" w:rsidRPr="00000000" w14:paraId="0000003D">
            <w:pPr>
              <w:numPr>
                <w:ilvl w:val="0"/>
                <w:numId w:val="2"/>
              </w:numPr>
              <w:ind w:left="720" w:hanging="360"/>
              <w:rPr/>
            </w:pPr>
            <w:r w:rsidDel="00000000" w:rsidR="00000000" w:rsidRPr="00000000">
              <w:rPr>
                <w:rtl w:val="0"/>
              </w:rPr>
              <w:t xml:space="preserve"> Assessment in class – students report what they have learned about the different countries. -10”</w:t>
            </w:r>
          </w:p>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 Fun activity – memorising different countries on sign language.  5”</w:t>
            </w:r>
          </w:p>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1">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2">
            <w:pPr>
              <w:rPr/>
            </w:pPr>
            <w:r w:rsidDel="00000000" w:rsidR="00000000" w:rsidRPr="00000000">
              <w:rPr>
                <w:rtl w:val="0"/>
              </w:rPr>
              <w:t xml:space="preserve"> Individual students can choose if they want to present a country on a slideshow or poster.</w:t>
            </w:r>
          </w:p>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5">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Peer assessment</w:t>
            </w:r>
          </w:p>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A">
            <w:pPr>
              <w:rPr/>
            </w:pPr>
            <w:r w:rsidDel="00000000" w:rsidR="00000000" w:rsidRPr="00000000">
              <w:rPr>
                <w:rtl w:val="0"/>
              </w:rPr>
              <w:t xml:space="preserve">Other thoughts about this lesson plan: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It nurtures creativity, collaboration, critical thinking and communication. It also motivates students to use their motoric skills. </w:t>
            </w:r>
          </w:p>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80"/>
      <w:outlineLvl w:val="0"/>
    </w:pPr>
    <w:rPr>
      <w:b w:val="1"/>
      <w:sz w:val="48"/>
      <w:szCs w:val="48"/>
    </w:rPr>
  </w:style>
  <w:style w:type="paragraph" w:styleId="Naslov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Naslov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ormal"/>
    <w:next w:val="Normal"/>
    <w:uiPriority w:val="9"/>
    <w:semiHidden w:val="1"/>
    <w:unhideWhenUsed w:val="1"/>
    <w:qFormat w:val="1"/>
    <w:pPr>
      <w:keepNext w:val="1"/>
      <w:keepLines w:val="1"/>
      <w:spacing w:after="40" w:before="240"/>
      <w:outlineLvl w:val="3"/>
    </w:pPr>
    <w:rPr>
      <w:b w:val="1"/>
    </w:rPr>
  </w:style>
  <w:style w:type="paragraph" w:styleId="Naslov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Naslov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ormal"/>
    <w:next w:val="Normal"/>
    <w:uiPriority w:val="10"/>
    <w:qFormat w:val="1"/>
    <w:pPr>
      <w:keepNext w:val="1"/>
      <w:keepLines w:val="1"/>
      <w:spacing w:after="120" w:before="480"/>
    </w:pPr>
    <w:rPr>
      <w:b w:val="1"/>
      <w:sz w:val="72"/>
      <w:szCs w:val="72"/>
    </w:rPr>
  </w:style>
  <w:style w:type="paragraph" w:styleId="Podnaslov">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Odlomakpopisa">
    <w:name w:val="List Paragraph"/>
    <w:basedOn w:val="Normal"/>
    <w:uiPriority w:val="34"/>
    <w:qFormat w:val="1"/>
    <w:rsid w:val="00F20B7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1D4QrnjSiBcbs+awqyX7tEnw1A==">CgMxLjA4AHIhMVhMQ2tidmNwMXpqX01qbGVwVlBndU1EYi1PVFQ4NzVj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2025-01-31T08:58:00Z</dcterms:created>
  <dc:creator>Korisnik</dc:creator>
</cp:coreProperties>
</file>