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Antonija Adžić, Croatia</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Human rights for primary education</w:t>
            </w:r>
          </w:p>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A">
            <w:pPr>
              <w:rPr/>
            </w:pPr>
            <w:r w:rsidDel="00000000" w:rsidR="00000000" w:rsidRPr="00000000">
              <w:rPr>
                <w:rtl w:val="0"/>
              </w:rPr>
              <w:t xml:space="preserve">Lesson brief description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Students will get acquainted with human rights.</w:t>
            </w:r>
          </w:p>
        </w:tc>
      </w:tr>
    </w:tbl>
    <w:p w:rsidR="00000000" w:rsidDel="00000000" w:rsidP="00000000" w:rsidRDefault="00000000" w:rsidRPr="00000000" w14:paraId="0000000D">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E">
            <w:pPr>
              <w:rPr/>
            </w:pPr>
            <w:r w:rsidDel="00000000" w:rsidR="00000000" w:rsidRPr="00000000">
              <w:rPr>
                <w:rtl w:val="0"/>
              </w:rPr>
              <w:t xml:space="preserve">Time (Lesson duration): 45 min</w:t>
            </w:r>
          </w:p>
        </w:tc>
      </w:tr>
    </w:tbl>
    <w:p w:rsidR="00000000" w:rsidDel="00000000" w:rsidP="00000000" w:rsidRDefault="00000000" w:rsidRPr="00000000" w14:paraId="0000000F">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0">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groups, individually.</w:t>
            </w:r>
          </w:p>
        </w:tc>
      </w:tr>
    </w:tbl>
    <w:p w:rsidR="00000000" w:rsidDel="00000000" w:rsidP="00000000" w:rsidRDefault="00000000" w:rsidRPr="00000000" w14:paraId="00000013">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t xml:space="preserve">Puzzles, photos, video, EU flags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9">
            <w:pPr>
              <w:rPr/>
            </w:pPr>
            <w:r w:rsidDel="00000000" w:rsidR="00000000" w:rsidRPr="00000000">
              <w:rPr>
                <w:rtl w:val="0"/>
              </w:rPr>
              <w:t xml:space="preserve">Students’ age: 9</w:t>
            </w:r>
          </w:p>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C">
            <w:pPr>
              <w:rPr/>
            </w:pPr>
            <w:r w:rsidDel="00000000" w:rsidR="00000000" w:rsidRPr="00000000">
              <w:rPr>
                <w:rtl w:val="0"/>
              </w:rPr>
              <w:t xml:space="preserve">Aims/Goals or SWBATs (Students will be able to......)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designate human rights</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 detect human rights violations</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be ready to notice human rights violations </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 cooperate together and respect other people's opinions</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develop human values and critical thinking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6">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10”</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Students search for hidden puzzles around the classroom and put together pictures that represent human rights.</w:t>
            </w:r>
          </w:p>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B">
            <w:pPr>
              <w:rPr>
                <w:i w:val="1"/>
              </w:rPr>
            </w:pPr>
            <w:r w:rsidDel="00000000" w:rsidR="00000000" w:rsidRPr="00000000">
              <w:rPr>
                <w:i w:val="1"/>
                <w:rtl w:val="0"/>
              </w:rPr>
              <w:t xml:space="preserve">What key-concepts could teachers focus on? What needs to be pre-taught?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Human rights, justice, diversity, equality</w:t>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0">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Assembling the puzzle – 10 min</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In groups, by playing roles, they depict the chosen human right, and the other students name the depicted. – 15 min</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They watch a short video and see what human rights have been presented. -5 min</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 Power walking – they are assigned roles. The teacher reads the sentences and if the sentence refers to their role, they step forward.  I talk to the students about their feelings during the game. – 10 min</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 The game True – False, if the statement is true, the students will wave the flags of the European Union countries, if the statement is not true, they will not wave. – 5 min</w:t>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9">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3A">
            <w:pPr>
              <w:rPr/>
            </w:pPr>
            <w:r w:rsidDel="00000000" w:rsidR="00000000" w:rsidRPr="00000000">
              <w:rPr>
                <w:rtl w:val="0"/>
              </w:rPr>
              <w:t xml:space="preserve">PBL – How can students collaborate better in class? – a project based question I want my students to think about at home.</w:t>
            </w:r>
          </w:p>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D">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3E">
            <w:pPr>
              <w:rPr/>
            </w:pPr>
            <w:r w:rsidDel="00000000" w:rsidR="00000000" w:rsidRPr="00000000">
              <w:rPr>
                <w:rtl w:val="0"/>
              </w:rPr>
              <w:t xml:space="preserve">Game True - False</w:t>
            </w:r>
          </w:p>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1">
            <w:pPr>
              <w:rPr/>
            </w:pPr>
            <w:r w:rsidDel="00000000" w:rsidR="00000000" w:rsidRPr="00000000">
              <w:rPr>
                <w:rtl w:val="0"/>
              </w:rPr>
              <w:t xml:space="preserve">Other thoughts about this lesson plan: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It can be applied to younger students. It teaches students about the basic human rights and makes them sensitive to applying them on other people in the class or community. The aim is to encourage students to be aware of other people’s human rights.</w:t>
            </w:r>
          </w:p>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80"/>
      <w:outlineLvl w:val="0"/>
    </w:pPr>
    <w:rPr>
      <w:b w:val="1"/>
      <w:sz w:val="48"/>
      <w:szCs w:val="48"/>
    </w:rPr>
  </w:style>
  <w:style w:type="paragraph" w:styleId="Naslov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Naslov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Naslov4">
    <w:name w:val="heading 4"/>
    <w:basedOn w:val="Normal"/>
    <w:next w:val="Normal"/>
    <w:uiPriority w:val="9"/>
    <w:semiHidden w:val="1"/>
    <w:unhideWhenUsed w:val="1"/>
    <w:qFormat w:val="1"/>
    <w:pPr>
      <w:keepNext w:val="1"/>
      <w:keepLines w:val="1"/>
      <w:spacing w:after="40" w:before="240"/>
      <w:outlineLvl w:val="3"/>
    </w:pPr>
    <w:rPr>
      <w:b w:val="1"/>
    </w:rPr>
  </w:style>
  <w:style w:type="paragraph" w:styleId="Naslov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Naslov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ormal"/>
    <w:next w:val="Normal"/>
    <w:uiPriority w:val="10"/>
    <w:qFormat w:val="1"/>
    <w:pPr>
      <w:keepNext w:val="1"/>
      <w:keepLines w:val="1"/>
      <w:spacing w:after="120" w:before="480"/>
    </w:pPr>
    <w:rPr>
      <w:b w:val="1"/>
      <w:sz w:val="72"/>
      <w:szCs w:val="72"/>
    </w:rPr>
  </w:style>
  <w:style w:type="paragraph" w:styleId="Podnaslov">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character" w:styleId="Tekstrezerviranogmjesta">
    <w:name w:val="Placeholder Text"/>
    <w:basedOn w:val="Zadanifontodlomka"/>
    <w:uiPriority w:val="99"/>
    <w:semiHidden w:val="1"/>
    <w:rsid w:val="00641ABF"/>
    <w:rPr>
      <w:color w:val="66666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YStS2D6RarIb25YdaHRLy9t5Iw==">CgMxLjA4AHIhMU5mN2J6Y1V3R0pwRlVIMjd0UWRWMDJrU1MxNnl1VTNw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2025-01-31T09:48:00Z</dcterms:created>
  <dc:creator>Korisnik</dc:creator>
</cp:coreProperties>
</file>